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</w:p>
    <w:p>
      <w:pPr>
        <w:spacing w:line="360" w:lineRule="auto"/>
        <w:jc w:val="center"/>
        <w:textAlignment w:val="baseline"/>
        <w:rPr>
          <w:rFonts w:ascii="Times New Roman" w:hAnsi="Times New Roman" w:eastAsia="华文中宋"/>
          <w:b/>
          <w:bCs/>
          <w:sz w:val="36"/>
          <w:szCs w:val="36"/>
        </w:rPr>
      </w:pPr>
      <w:r>
        <w:rPr>
          <w:rFonts w:ascii="Times New Roman" w:hAnsi="Times New Roman" w:eastAsia="华文中宋"/>
          <w:b/>
          <w:bCs/>
          <w:sz w:val="36"/>
          <w:szCs w:val="36"/>
        </w:rPr>
        <w:t>国家级稻品种审定标准（2021年修订）</w:t>
      </w:r>
    </w:p>
    <w:p>
      <w:pPr>
        <w:spacing w:line="360" w:lineRule="auto"/>
        <w:jc w:val="center"/>
        <w:textAlignment w:val="baseline"/>
        <w:rPr>
          <w:rFonts w:ascii="Times New Roman" w:hAnsi="Times New Roman" w:eastAsia="楷体"/>
          <w:b/>
          <w:bCs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　　1 基本条件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　</w:t>
      </w:r>
      <w:r>
        <w:rPr>
          <w:rFonts w:ascii="Times New Roman" w:hAnsi="Times New Roman" w:eastAsia="楷体_GB2312"/>
          <w:b/>
          <w:sz w:val="32"/>
          <w:szCs w:val="32"/>
        </w:rPr>
        <w:t>　1.1 抗性（病、虫、冷、热）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每年南方稻区（不含武陵山稻区）品种稻瘟病综合抗性指数年度≤6.0，品种穗瘟损失率最高级≤7级。</w:t>
      </w:r>
    </w:p>
    <w:p>
      <w:pPr>
        <w:spacing w:line="360" w:lineRule="auto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每年武陵山稻区、北方稻区品种稻瘟病综合抗性指数≤4.5，穗瘟损失率最高级≤5级。</w:t>
      </w:r>
    </w:p>
    <w:p>
      <w:pPr>
        <w:spacing w:line="360" w:lineRule="auto"/>
        <w:ind w:firstLine="63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南方稻区的单季晚粳品种、北方稻区的黄淮海粳稻、京津唐粳稻品种的条纹叶枯病抗性最高级≤5级。</w:t>
      </w:r>
    </w:p>
    <w:p>
      <w:pPr>
        <w:spacing w:line="360" w:lineRule="auto"/>
        <w:ind w:firstLine="63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长江上游、中下游稻区中籼品种耐热性≤7级。</w:t>
      </w:r>
    </w:p>
    <w:p>
      <w:pPr>
        <w:spacing w:line="360" w:lineRule="auto"/>
        <w:ind w:firstLine="63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除达到上述要求外,不同稻区还应对以下抗逆性状进行鉴定。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华南稻区：白叶枯病、白背飞虱（早籼）、褐飞虱（晚籼）。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长江上游稻区：褐飞虱、耐冷性。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长江中下游稻区：白叶枯病、条纹叶枯病（晚粳）、白背飞虱（早籼）、褐飞虱（不含早籼）、耐冷性（晚籼）。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武陵山稻区：耐冷性。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北方早粳区：耐冷性。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　　1.2 生育期</w:t>
      </w:r>
    </w:p>
    <w:p>
      <w:pPr>
        <w:spacing w:line="360" w:lineRule="auto"/>
        <w:ind w:firstLine="42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不超过安全生产和耕作制度允许范围。长江中下游早籼早中熟和晚籼早熟品种全生育期不长于对照品种，麦茬籼稻、华南感光晚籼品种不长于对照1.0天；早籼迟熟和晚籼中迟熟品种全生育期不长于对照品种3.0天；长江上游中籼、长江中下游单季晚粳和黄淮海中熟中粳、东北早粳中熟品种全生育期不长于对照品种5.0天；其他类型品种全生育期不长于对照品种7.0天。</w:t>
      </w:r>
    </w:p>
    <w:p>
      <w:pPr>
        <w:spacing w:line="360" w:lineRule="auto"/>
        <w:ind w:firstLine="42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当国家区试对照品种进行更换时，由稻专业委员会对相应生育期指标作出调整。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　　1.3 结实率</w:t>
      </w:r>
    </w:p>
    <w:p>
      <w:pPr>
        <w:spacing w:line="360" w:lineRule="auto"/>
        <w:ind w:firstLine="42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中稻品种年度结实率＜70%的区域试验点≤3个，晚稻品种年度结实率＜65%的区域试验点≤3个。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　　1.4 抗倒性</w:t>
      </w:r>
    </w:p>
    <w:p>
      <w:pPr>
        <w:spacing w:line="360" w:lineRule="auto"/>
        <w:ind w:firstLine="42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品种年度区域试验、生产试验倒伏点占总试验点的比例≤20%。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　　1.5 旱稻品种抗旱性</w:t>
      </w:r>
    </w:p>
    <w:p>
      <w:pPr>
        <w:spacing w:line="360" w:lineRule="auto"/>
        <w:ind w:firstLine="42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抗旱级别≤5级。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　　1.6</w:t>
      </w:r>
      <w:r>
        <w:rPr>
          <w:rFonts w:hint="eastAsia" w:ascii="Times New Roman" w:hAnsi="Times New Roman" w:eastAsia="楷体_GB2312"/>
          <w:b/>
          <w:sz w:val="32"/>
          <w:szCs w:val="32"/>
        </w:rPr>
        <w:t xml:space="preserve"> 真实</w:t>
      </w:r>
      <w:r>
        <w:rPr>
          <w:rFonts w:ascii="Times New Roman" w:hAnsi="Times New Roman" w:eastAsia="楷体_GB2312"/>
          <w:b/>
          <w:sz w:val="32"/>
          <w:szCs w:val="32"/>
        </w:rPr>
        <w:t>性和</w:t>
      </w:r>
      <w:r>
        <w:rPr>
          <w:rFonts w:hint="eastAsia" w:ascii="Times New Roman" w:hAnsi="Times New Roman" w:eastAsia="楷体_GB2312"/>
          <w:b/>
          <w:sz w:val="32"/>
          <w:szCs w:val="32"/>
        </w:rPr>
        <w:t>差异</w:t>
      </w:r>
      <w:r>
        <w:rPr>
          <w:rFonts w:ascii="Times New Roman" w:hAnsi="Times New Roman" w:eastAsia="楷体_GB2312"/>
          <w:b/>
          <w:sz w:val="32"/>
          <w:szCs w:val="32"/>
        </w:rPr>
        <w:t>性</w:t>
      </w:r>
      <w:r>
        <w:rPr>
          <w:rFonts w:hint="eastAsia" w:ascii="Times New Roman" w:hAnsi="Times New Roman" w:eastAsia="楷体_GB2312"/>
          <w:b/>
          <w:bCs/>
          <w:sz w:val="32"/>
          <w:szCs w:val="32"/>
        </w:rPr>
        <w:t>（SSR分子标记检测）</w:t>
      </w:r>
    </w:p>
    <w:p>
      <w:pPr>
        <w:spacing w:line="360" w:lineRule="auto"/>
        <w:ind w:firstLine="63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同一品种在不同试验年份、不同试验组别、不同试验渠道中DNA指纹检测差异位点数应当＜2个。</w:t>
      </w:r>
    </w:p>
    <w:p>
      <w:pPr>
        <w:spacing w:line="360" w:lineRule="auto"/>
        <w:ind w:firstLine="63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申请审定品种应当与已知品种DNA指纹检测差异位点数≥3个；申请审定品种与已知品种DNA指纹检测差异位点数=2个的，需进行田间小区种植鉴定证明有重要农艺性状差异。</w:t>
      </w:r>
    </w:p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　　2</w:t>
      </w:r>
      <w:r>
        <w:rPr>
          <w:rFonts w:hint="eastAsia" w:ascii="Times New Roman" w:hAnsi="Times New Roman" w:eastAsia="黑体"/>
          <w:sz w:val="32"/>
          <w:szCs w:val="32"/>
        </w:rPr>
        <w:t xml:space="preserve">  </w:t>
      </w:r>
      <w:r>
        <w:rPr>
          <w:rFonts w:ascii="Times New Roman" w:hAnsi="Times New Roman" w:eastAsia="黑体"/>
          <w:sz w:val="32"/>
          <w:szCs w:val="32"/>
        </w:rPr>
        <w:t>分类品种条件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　　 2.1 高产稳产品种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审定品种与对照同为常规稻或杂交稻,与对照同等级品质，每年区域试验、生产试验产量均比对照品种增产≥4.0%，每年区域试验、生产试验增产试验点比例均≥65%。比对照品质差的品种，每年区域试验、生产试验产量比对照品种增产≥5.0%，每年区域试验、生产试验增产点比例≥75%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杂交稻作对照品种的常规稻品种，每年区域试验及生产试验产量比照第一款，比对照品种增产幅度相应降低2个百分点。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常规稻作对照品种的杂交稻品种，每年区域试验产量比照第一款，比对照品种增产幅度相应增加3个百分点。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　　2.2 绿色优质品种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</w:t>
      </w:r>
      <w:r>
        <w:rPr>
          <w:rFonts w:hint="eastAsia" w:ascii="仿宋_GB2312" w:eastAsia="仿宋_GB2312" w:hAnsiTheme="minorEastAsia"/>
          <w:b/>
          <w:sz w:val="32"/>
          <w:szCs w:val="32"/>
        </w:rPr>
        <w:t>2.2.1品种分类</w:t>
      </w:r>
    </w:p>
    <w:p>
      <w:pPr>
        <w:spacing w:line="360" w:lineRule="auto"/>
        <w:ind w:firstLine="643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2.2.1.1 抗病品种：</w:t>
      </w:r>
      <w:r>
        <w:rPr>
          <w:rFonts w:hint="eastAsia" w:ascii="仿宋_GB2312" w:eastAsia="仿宋_GB2312" w:hAnsiTheme="minorEastAsia"/>
          <w:sz w:val="32"/>
          <w:szCs w:val="32"/>
        </w:rPr>
        <w:t>南方稻区（武陵山稻区除外）稻瘟病抗性达到中抗及以上，或华南稻区白叶枯病抗性达到中抗及以上；武陵山稻区稻瘟病抗性达到抗及以上；北方、南方稻区粳稻稻瘟病抗性达到抗及以上，同时条纹叶枯病达到抗及以上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</w:t>
      </w:r>
      <w:r>
        <w:rPr>
          <w:rFonts w:hint="eastAsia" w:ascii="仿宋_GB2312" w:eastAsia="仿宋_GB2312" w:hAnsiTheme="minorEastAsia"/>
          <w:b/>
          <w:sz w:val="32"/>
          <w:szCs w:val="32"/>
        </w:rPr>
        <w:t>2.2.1.2 抗虫品种：</w:t>
      </w:r>
      <w:r>
        <w:rPr>
          <w:rFonts w:hint="eastAsia" w:ascii="仿宋_GB2312" w:eastAsia="仿宋_GB2312" w:hAnsiTheme="minorEastAsia"/>
          <w:sz w:val="32"/>
          <w:szCs w:val="32"/>
        </w:rPr>
        <w:t>早籼对白背飞虱达到中抗及以上水平，中籼及晚籼、晚粳对褐飞虱达到中抗及以上水平，且优于对照品种一个级别及以上。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</w:t>
      </w:r>
      <w:r>
        <w:rPr>
          <w:rFonts w:hint="eastAsia" w:ascii="仿宋_GB2312" w:eastAsia="仿宋_GB2312" w:hAnsiTheme="minorEastAsia"/>
          <w:b/>
          <w:sz w:val="32"/>
          <w:szCs w:val="32"/>
        </w:rPr>
        <w:t>2.2.1.3 优质品种：</w:t>
      </w:r>
      <w:r>
        <w:rPr>
          <w:rFonts w:hint="eastAsia" w:ascii="仿宋_GB2312" w:eastAsia="仿宋_GB2312" w:hAnsiTheme="minorEastAsia"/>
          <w:sz w:val="32"/>
          <w:szCs w:val="32"/>
        </w:rPr>
        <w:t>品质达到《食用稻品种品质》（NY/T 593-2013）优质食用稻标准。</w:t>
      </w:r>
    </w:p>
    <w:p>
      <w:pPr>
        <w:spacing w:line="360" w:lineRule="auto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</w:t>
      </w:r>
      <w:r>
        <w:rPr>
          <w:rFonts w:hint="eastAsia" w:ascii="仿宋_GB2312" w:eastAsia="仿宋_GB2312" w:hAnsiTheme="minorEastAsia"/>
          <w:b/>
          <w:sz w:val="32"/>
          <w:szCs w:val="32"/>
        </w:rPr>
        <w:t>2.2.2 产量指标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</w:t>
      </w:r>
      <w:r>
        <w:rPr>
          <w:rFonts w:hint="eastAsia" w:ascii="仿宋_GB2312" w:eastAsia="仿宋_GB2312" w:hAnsiTheme="minorEastAsia"/>
          <w:b/>
          <w:sz w:val="32"/>
          <w:szCs w:val="32"/>
        </w:rPr>
        <w:t>2.2.2.1 绿色品种</w:t>
      </w:r>
      <w:r>
        <w:rPr>
          <w:rFonts w:hint="eastAsia" w:ascii="仿宋_GB2312" w:eastAsia="仿宋_GB2312" w:hAnsiTheme="minorEastAsia"/>
          <w:sz w:val="32"/>
          <w:szCs w:val="32"/>
        </w:rPr>
        <w:t>：抗性达到1—3级且与对照同等级，每年区域试验比对照增产≥3.0%；达到3级但低于对照，每年区域试验比对照增产≥5.0%；达到3级且优于对照，每年区域试验比对照减产≤3.0%；达到1级且优于对照，每年区域试验比对照减产≤5.0%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　　</w:t>
      </w:r>
      <w:r>
        <w:rPr>
          <w:rFonts w:hint="eastAsia" w:ascii="仿宋_GB2312" w:eastAsia="仿宋_GB2312" w:hAnsiTheme="minorEastAsia"/>
          <w:b/>
          <w:sz w:val="32"/>
          <w:szCs w:val="32"/>
        </w:rPr>
        <w:t>2.2.2.2 优质品种</w:t>
      </w:r>
      <w:r>
        <w:rPr>
          <w:rFonts w:hint="eastAsia" w:ascii="仿宋_GB2312" w:eastAsia="仿宋_GB2312" w:hAnsiTheme="minorEastAsia"/>
          <w:sz w:val="32"/>
          <w:szCs w:val="32"/>
        </w:rPr>
        <w:t>：品质达到部标1—3级且与对照同等级，每年区域试验比对照增产≥3.0%；品质达到部标3级且优于对照，每年区域试验增产≥1.0%；达到部标2级且优于对照，每年区域试验比对照减产≤3.0%；达到部标1级且优于对照，每年区域试验比对照减产≤5.0%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　　 </w:t>
      </w:r>
      <w:r>
        <w:rPr>
          <w:rFonts w:hint="eastAsia" w:ascii="仿宋_GB2312" w:eastAsia="仿宋_GB2312" w:hAnsiTheme="minorEastAsia"/>
          <w:b/>
          <w:sz w:val="32"/>
          <w:szCs w:val="32"/>
        </w:rPr>
        <w:t>2.2.2.3 绿色优质品种：</w:t>
      </w:r>
      <w:r>
        <w:rPr>
          <w:rFonts w:hint="eastAsia" w:ascii="仿宋_GB2312" w:eastAsia="仿宋_GB2312" w:hAnsiTheme="minorEastAsia"/>
          <w:sz w:val="32"/>
          <w:szCs w:val="32"/>
        </w:rPr>
        <w:t>稻瘟病、或褐飞虱、或华南白叶枯病中抗及以上，且品质达到部标2级并优于对照的品种，每年区域试验比对照减产≤5.0%；稻瘟病、或褐飞虱、或华南白叶枯病中抗及以上，且品质达到部标1级并优于对照的品种，每年区域试验比对照减产≤7.0%。</w:t>
      </w:r>
    </w:p>
    <w:p>
      <w:pPr>
        <w:spacing w:line="360" w:lineRule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以上品种的生产试验产量指标，与区域试验增减产幅度相一致。</w:t>
      </w:r>
    </w:p>
    <w:p>
      <w:pPr>
        <w:spacing w:line="360" w:lineRule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Times New Roman" w:hAnsi="Times New Roman" w:eastAsia="楷体_GB2312"/>
          <w:b/>
          <w:sz w:val="32"/>
          <w:szCs w:val="32"/>
        </w:rPr>
        <w:t xml:space="preserve">    </w:t>
      </w:r>
      <w:r>
        <w:rPr>
          <w:rFonts w:ascii="Times New Roman" w:hAnsi="Times New Roman" w:eastAsia="楷体_GB2312"/>
          <w:b/>
          <w:sz w:val="32"/>
          <w:szCs w:val="32"/>
        </w:rPr>
        <w:t>2.3 特殊类型品种</w:t>
      </w:r>
    </w:p>
    <w:p>
      <w:pPr>
        <w:spacing w:line="360" w:lineRule="auto"/>
        <w:rPr>
          <w:rFonts w:ascii="Times New Roman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32"/>
          <w:szCs w:val="32"/>
        </w:rPr>
        <w:t>　　糯稻、耐盐（碱）水稻、节水抗旱稻、高海拔粳稻及镉低积累水稻等特殊类型品种，申请者可根据生产实际需求提出品种审定标准，报国家农作物品种审定委员会同意，并自行开展品种试验。</w:t>
      </w:r>
    </w:p>
    <w:p>
      <w:pPr>
        <w:spacing w:line="360" w:lineRule="auto"/>
        <w:textAlignment w:val="baseline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701" w:right="1797" w:bottom="170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1"/>
        <w:szCs w:val="21"/>
      </w:rPr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16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71A"/>
    <w:rsid w:val="000B2F48"/>
    <w:rsid w:val="00187E0D"/>
    <w:rsid w:val="001D43F8"/>
    <w:rsid w:val="0025598F"/>
    <w:rsid w:val="003A0A8B"/>
    <w:rsid w:val="003E5EC7"/>
    <w:rsid w:val="00402BA1"/>
    <w:rsid w:val="00445D5E"/>
    <w:rsid w:val="005734FD"/>
    <w:rsid w:val="006342EB"/>
    <w:rsid w:val="0081219E"/>
    <w:rsid w:val="00965C94"/>
    <w:rsid w:val="00A165C9"/>
    <w:rsid w:val="00CB6A82"/>
    <w:rsid w:val="00D02951"/>
    <w:rsid w:val="00D7571A"/>
    <w:rsid w:val="00ED588F"/>
    <w:rsid w:val="00EE5E5F"/>
    <w:rsid w:val="00EE5E7A"/>
    <w:rsid w:val="00F82A97"/>
    <w:rsid w:val="5812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9">
    <w:name w:val="Char Char Char Char Char Char Char Char Char Char"/>
    <w:basedOn w:val="1"/>
    <w:semiHidden/>
    <w:uiPriority w:val="0"/>
    <w:pPr>
      <w:tabs>
        <w:tab w:val="left" w:pos="0"/>
      </w:tabs>
      <w:spacing w:line="460" w:lineRule="exact"/>
      <w:ind w:firstLine="538" w:firstLineChars="192"/>
    </w:pPr>
    <w:rPr>
      <w:rFonts w:ascii="宋体" w:hAnsi="宋体" w:eastAsia="宋体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893</Words>
  <Characters>5095</Characters>
  <Lines>42</Lines>
  <Paragraphs>11</Paragraphs>
  <TotalTime>42</TotalTime>
  <ScaleCrop>false</ScaleCrop>
  <LinksUpToDate>false</LinksUpToDate>
  <CharactersWithSpaces>5977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2021-09-27T11:08:00Z</dcterms:created>
  <dc:creator>admin</dc:creator>
  <cp:lastModifiedBy>lenovo</cp:lastModifiedBy>
  <cp:lastPrinted>2021-09-28T01:41:00Z</cp:lastPrinted>
  <dcterms:modified xsi:type="dcterms:W3CDTF">2021-09-30T07:56:30Z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66F593FB7A814AB0ADED4D8204D13419</vt:lpwstr>
  </property>
</Properties>
</file>